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F26C" w14:textId="77777777" w:rsidR="00B03947" w:rsidRDefault="00000000">
      <w:pPr>
        <w:jc w:val="center"/>
      </w:pPr>
      <w:r>
        <w:rPr>
          <w:b/>
          <w:color w:val="0B3D4A"/>
          <w:sz w:val="30"/>
        </w:rPr>
        <w:t>SHANI SAMBRANO</w:t>
      </w:r>
    </w:p>
    <w:p w14:paraId="1B6A019D" w14:textId="77777777" w:rsidR="00B03947" w:rsidRPr="00FD2CD3" w:rsidRDefault="00000000">
      <w:pPr>
        <w:spacing w:after="20"/>
        <w:jc w:val="center"/>
        <w:rPr>
          <w:sz w:val="22"/>
        </w:rPr>
      </w:pPr>
      <w:r w:rsidRPr="00FD2CD3">
        <w:rPr>
          <w:b/>
          <w:color w:val="086C7A"/>
          <w:sz w:val="22"/>
        </w:rPr>
        <w:t>Chief Product &amp; AI Officer | Senior AI/ML/Data Architect | Quantum-Ready Cloud &amp; Governance Strategist</w:t>
      </w:r>
    </w:p>
    <w:p w14:paraId="4CCC987C" w14:textId="77777777" w:rsidR="00B03947" w:rsidRPr="00FD2CD3" w:rsidRDefault="00000000">
      <w:pPr>
        <w:spacing w:after="20"/>
        <w:jc w:val="center"/>
        <w:rPr>
          <w:sz w:val="22"/>
        </w:rPr>
      </w:pPr>
      <w:r w:rsidRPr="00FD2CD3">
        <w:rPr>
          <w:sz w:val="22"/>
        </w:rPr>
        <w:t xml:space="preserve">Orange County, CA | </w:t>
      </w:r>
      <w:hyperlink r:id="rId8">
        <w:r w:rsidRPr="00FD2CD3">
          <w:rPr>
            <w:color w:val="0563C1"/>
            <w:sz w:val="22"/>
            <w:u w:val="single"/>
          </w:rPr>
          <w:t>S.Sambrano@elevate-aisolutions.com</w:t>
        </w:r>
      </w:hyperlink>
      <w:r w:rsidRPr="00FD2CD3">
        <w:rPr>
          <w:sz w:val="22"/>
        </w:rPr>
        <w:t xml:space="preserve"> | (714) 884-7662 | </w:t>
      </w:r>
      <w:hyperlink r:id="rId9">
        <w:r w:rsidRPr="00FD2CD3">
          <w:rPr>
            <w:color w:val="0563C1"/>
            <w:sz w:val="22"/>
            <w:u w:val="single"/>
          </w:rPr>
          <w:t>Portfolio</w:t>
        </w:r>
      </w:hyperlink>
      <w:r w:rsidRPr="00FD2CD3">
        <w:rPr>
          <w:sz w:val="22"/>
        </w:rPr>
        <w:t xml:space="preserve"> | </w:t>
      </w:r>
      <w:hyperlink r:id="rId10">
        <w:r w:rsidRPr="00FD2CD3">
          <w:rPr>
            <w:color w:val="0563C1"/>
            <w:sz w:val="22"/>
            <w:u w:val="single"/>
          </w:rPr>
          <w:t>GitHub</w:t>
        </w:r>
      </w:hyperlink>
      <w:r w:rsidRPr="00FD2CD3">
        <w:rPr>
          <w:sz w:val="22"/>
        </w:rPr>
        <w:t xml:space="preserve"> | </w:t>
      </w:r>
      <w:hyperlink r:id="rId11">
        <w:r w:rsidRPr="00FD2CD3">
          <w:rPr>
            <w:color w:val="0563C1"/>
            <w:sz w:val="22"/>
            <w:u w:val="single"/>
          </w:rPr>
          <w:t>Elevate AI Solutions</w:t>
        </w:r>
      </w:hyperlink>
      <w:r w:rsidRPr="00FD2CD3">
        <w:rPr>
          <w:sz w:val="22"/>
        </w:rPr>
        <w:t xml:space="preserve"> | </w:t>
      </w:r>
      <w:hyperlink r:id="rId12">
        <w:r w:rsidRPr="00FD2CD3">
          <w:rPr>
            <w:color w:val="0563C1"/>
            <w:sz w:val="22"/>
            <w:u w:val="single"/>
          </w:rPr>
          <w:t>VistaIFS</w:t>
        </w:r>
      </w:hyperlink>
      <w:r w:rsidRPr="00FD2CD3">
        <w:rPr>
          <w:sz w:val="22"/>
        </w:rPr>
        <w:t xml:space="preserve"> | </w:t>
      </w:r>
      <w:hyperlink r:id="rId13">
        <w:r w:rsidRPr="00FD2CD3">
          <w:rPr>
            <w:color w:val="0563C1"/>
            <w:sz w:val="22"/>
            <w:u w:val="single"/>
          </w:rPr>
          <w:t>MergeMADS</w:t>
        </w:r>
      </w:hyperlink>
    </w:p>
    <w:p w14:paraId="6002AC94" w14:textId="77777777" w:rsidR="00B03947" w:rsidRDefault="00000000">
      <w:pPr>
        <w:pBdr>
          <w:bottom w:val="single" w:sz="6" w:space="1" w:color="0B3D4A"/>
        </w:pBdr>
        <w:spacing w:before="80" w:after="20"/>
      </w:pPr>
      <w:r>
        <w:rPr>
          <w:b/>
          <w:color w:val="0B3D4A"/>
          <w:sz w:val="19"/>
        </w:rPr>
        <w:t>EXECUTIVE PROFILE</w:t>
      </w:r>
    </w:p>
    <w:p w14:paraId="61A39A4E" w14:textId="77777777" w:rsidR="00B03947" w:rsidRPr="005C295E" w:rsidRDefault="00000000">
      <w:pPr>
        <w:spacing w:after="40"/>
        <w:rPr>
          <w:sz w:val="22"/>
        </w:rPr>
      </w:pPr>
      <w:r w:rsidRPr="005C295E">
        <w:rPr>
          <w:sz w:val="22"/>
        </w:rPr>
        <w:t>Chief Product &amp; AI Officer and Senior AI/ML/Data Architect with 30+ years of leadership across entrepreneurship, regulated operations, education administration, data/AI systems, cloud modernization, and service/product development. Built and led service lines and products across cleaning services, special-needs tutoring, plumbing operations, financial/insurance operations, marketing systems, and AI/data consulting. Combines an M.S. in Data Science, MBA studies, hands-on cloud/data engineering projects, and executive operating experience to translate market problems into product strategy, data platforms, governance frameworks, analytics workflows, and AI-enabled decision-support systems.</w:t>
      </w:r>
    </w:p>
    <w:p w14:paraId="17E296D2" w14:textId="77777777" w:rsidR="00033E57" w:rsidRDefault="00033E57">
      <w:pPr>
        <w:spacing w:after="20"/>
        <w:rPr>
          <w:b/>
          <w:color w:val="0B3D4A"/>
          <w:sz w:val="22"/>
        </w:rPr>
      </w:pPr>
    </w:p>
    <w:p w14:paraId="5C639BCB" w14:textId="6B8CE964" w:rsidR="00B03947" w:rsidRPr="005C295E" w:rsidRDefault="00000000">
      <w:pPr>
        <w:spacing w:after="20"/>
        <w:rPr>
          <w:sz w:val="22"/>
        </w:rPr>
      </w:pPr>
      <w:r w:rsidRPr="005C295E">
        <w:rPr>
          <w:b/>
          <w:color w:val="0B3D4A"/>
          <w:sz w:val="22"/>
        </w:rPr>
        <w:t>Positioning: AI product strategy, data engineering, cloud architecture, governance, workflow automation, product analytics, and emerging quantum-ready infrastructure / post-quantum security readiness.</w:t>
      </w:r>
    </w:p>
    <w:p w14:paraId="22387929" w14:textId="77777777" w:rsidR="00033E57" w:rsidRDefault="00033E57">
      <w:pPr>
        <w:pBdr>
          <w:bottom w:val="single" w:sz="6" w:space="1" w:color="0B3D4A"/>
        </w:pBdr>
        <w:spacing w:before="80" w:after="20"/>
        <w:rPr>
          <w:b/>
          <w:color w:val="0B3D4A"/>
          <w:sz w:val="19"/>
        </w:rPr>
      </w:pPr>
    </w:p>
    <w:p w14:paraId="745CA571" w14:textId="269AF868" w:rsidR="00B03947" w:rsidRDefault="00000000">
      <w:pPr>
        <w:pBdr>
          <w:bottom w:val="single" w:sz="6" w:space="1" w:color="0B3D4A"/>
        </w:pBdr>
        <w:spacing w:before="80" w:after="20"/>
      </w:pPr>
      <w:r>
        <w:rPr>
          <w:b/>
          <w:color w:val="0B3D4A"/>
          <w:sz w:val="19"/>
        </w:rPr>
        <w:t>EXECUTIVE PRODUCT, DATA &amp; CLOUD LEADERSHIP</w:t>
      </w:r>
    </w:p>
    <w:tbl>
      <w:tblPr>
        <w:tblStyle w:val="TableGrid"/>
        <w:tblW w:w="0" w:type="auto"/>
        <w:jc w:val="center"/>
        <w:tblLook w:val="04A0" w:firstRow="1" w:lastRow="0" w:firstColumn="1" w:lastColumn="0" w:noHBand="0" w:noVBand="1"/>
      </w:tblPr>
      <w:tblGrid>
        <w:gridCol w:w="2355"/>
        <w:gridCol w:w="8661"/>
      </w:tblGrid>
      <w:tr w:rsidR="00B03947" w14:paraId="55C8B006" w14:textId="77777777">
        <w:trPr>
          <w:jc w:val="center"/>
        </w:trPr>
        <w:tc>
          <w:tcPr>
            <w:tcW w:w="2376" w:type="dxa"/>
            <w:tcBorders>
              <w:top w:val="single" w:sz="2" w:space="0" w:color="D9E2E5"/>
              <w:left w:val="single" w:sz="2" w:space="0" w:color="D9E2E5"/>
              <w:bottom w:val="single" w:sz="2" w:space="0" w:color="D9E2E5"/>
              <w:right w:val="single" w:sz="2" w:space="0" w:color="D9E2E5"/>
            </w:tcBorders>
            <w:shd w:val="clear" w:color="auto" w:fill="EAF3F5"/>
          </w:tcPr>
          <w:p w14:paraId="2143D311" w14:textId="77777777" w:rsidR="00B03947" w:rsidRPr="005C295E" w:rsidRDefault="00000000">
            <w:pPr>
              <w:rPr>
                <w:sz w:val="22"/>
              </w:rPr>
            </w:pPr>
            <w:r w:rsidRPr="005C295E">
              <w:rPr>
                <w:b/>
                <w:color w:val="0B3D4A"/>
                <w:sz w:val="22"/>
              </w:rPr>
              <w:t>Product &amp; Executive Leadership</w:t>
            </w:r>
          </w:p>
        </w:tc>
        <w:tc>
          <w:tcPr>
            <w:tcW w:w="8856" w:type="dxa"/>
            <w:tcBorders>
              <w:top w:val="single" w:sz="2" w:space="0" w:color="D9E2E5"/>
              <w:left w:val="single" w:sz="2" w:space="0" w:color="D9E2E5"/>
              <w:bottom w:val="single" w:sz="2" w:space="0" w:color="D9E2E5"/>
              <w:right w:val="single" w:sz="2" w:space="0" w:color="D9E2E5"/>
            </w:tcBorders>
          </w:tcPr>
          <w:p w14:paraId="4205061F" w14:textId="77777777" w:rsidR="00B03947" w:rsidRPr="005C295E" w:rsidRDefault="00000000">
            <w:pPr>
              <w:rPr>
                <w:sz w:val="22"/>
              </w:rPr>
            </w:pPr>
            <w:r w:rsidRPr="005C295E">
              <w:rPr>
                <w:sz w:val="22"/>
              </w:rPr>
              <w:t>Product vision, service design, productized offers, pricing, roadmaps, customer discovery, go-to-market strategy, operating models, cross-functional leadership</w:t>
            </w:r>
          </w:p>
        </w:tc>
      </w:tr>
      <w:tr w:rsidR="00B03947" w14:paraId="2F632504" w14:textId="77777777">
        <w:trPr>
          <w:jc w:val="center"/>
        </w:trPr>
        <w:tc>
          <w:tcPr>
            <w:tcW w:w="2376" w:type="dxa"/>
            <w:tcBorders>
              <w:top w:val="single" w:sz="2" w:space="0" w:color="D9E2E5"/>
              <w:left w:val="single" w:sz="2" w:space="0" w:color="D9E2E5"/>
              <w:bottom w:val="single" w:sz="2" w:space="0" w:color="D9E2E5"/>
              <w:right w:val="single" w:sz="2" w:space="0" w:color="D9E2E5"/>
            </w:tcBorders>
            <w:shd w:val="clear" w:color="auto" w:fill="EAF3F5"/>
          </w:tcPr>
          <w:p w14:paraId="0F15AB14" w14:textId="77777777" w:rsidR="00B03947" w:rsidRPr="005C295E" w:rsidRDefault="00000000">
            <w:pPr>
              <w:rPr>
                <w:sz w:val="22"/>
              </w:rPr>
            </w:pPr>
            <w:r w:rsidRPr="005C295E">
              <w:rPr>
                <w:b/>
                <w:color w:val="0B3D4A"/>
                <w:sz w:val="22"/>
              </w:rPr>
              <w:t>Data/AI Engineering</w:t>
            </w:r>
          </w:p>
        </w:tc>
        <w:tc>
          <w:tcPr>
            <w:tcW w:w="8856" w:type="dxa"/>
            <w:tcBorders>
              <w:top w:val="single" w:sz="2" w:space="0" w:color="D9E2E5"/>
              <w:left w:val="single" w:sz="2" w:space="0" w:color="D9E2E5"/>
              <w:bottom w:val="single" w:sz="2" w:space="0" w:color="D9E2E5"/>
              <w:right w:val="single" w:sz="2" w:space="0" w:color="D9E2E5"/>
            </w:tcBorders>
          </w:tcPr>
          <w:p w14:paraId="4D50CA06" w14:textId="77777777" w:rsidR="00B03947" w:rsidRPr="005C295E" w:rsidRDefault="00000000">
            <w:pPr>
              <w:rPr>
                <w:sz w:val="22"/>
              </w:rPr>
            </w:pPr>
            <w:r w:rsidRPr="005C295E">
              <w:rPr>
                <w:sz w:val="22"/>
              </w:rPr>
              <w:t>Python, SQL, Pandas, NumPy, scikit-learn, Power BI, Jupyter, feature engineering, EDA, model evaluation, dashboards, AI decision-support workflows</w:t>
            </w:r>
          </w:p>
        </w:tc>
      </w:tr>
      <w:tr w:rsidR="00B03947" w14:paraId="7FBC55CE" w14:textId="77777777">
        <w:trPr>
          <w:jc w:val="center"/>
        </w:trPr>
        <w:tc>
          <w:tcPr>
            <w:tcW w:w="2376" w:type="dxa"/>
            <w:tcBorders>
              <w:top w:val="single" w:sz="2" w:space="0" w:color="D9E2E5"/>
              <w:left w:val="single" w:sz="2" w:space="0" w:color="D9E2E5"/>
              <w:bottom w:val="single" w:sz="2" w:space="0" w:color="D9E2E5"/>
              <w:right w:val="single" w:sz="2" w:space="0" w:color="D9E2E5"/>
            </w:tcBorders>
            <w:shd w:val="clear" w:color="auto" w:fill="EAF3F5"/>
          </w:tcPr>
          <w:p w14:paraId="098FE652" w14:textId="77777777" w:rsidR="00B03947" w:rsidRPr="005C295E" w:rsidRDefault="00000000">
            <w:pPr>
              <w:rPr>
                <w:sz w:val="22"/>
              </w:rPr>
            </w:pPr>
            <w:r w:rsidRPr="005C295E">
              <w:rPr>
                <w:b/>
                <w:color w:val="0B3D4A"/>
                <w:sz w:val="22"/>
              </w:rPr>
              <w:t>Cloud &amp; Modern Data Stack</w:t>
            </w:r>
          </w:p>
        </w:tc>
        <w:tc>
          <w:tcPr>
            <w:tcW w:w="8856" w:type="dxa"/>
            <w:tcBorders>
              <w:top w:val="single" w:sz="2" w:space="0" w:color="D9E2E5"/>
              <w:left w:val="single" w:sz="2" w:space="0" w:color="D9E2E5"/>
              <w:bottom w:val="single" w:sz="2" w:space="0" w:color="D9E2E5"/>
              <w:right w:val="single" w:sz="2" w:space="0" w:color="D9E2E5"/>
            </w:tcBorders>
          </w:tcPr>
          <w:p w14:paraId="70837F6C" w14:textId="77777777" w:rsidR="00B03947" w:rsidRPr="005C295E" w:rsidRDefault="00000000">
            <w:pPr>
              <w:rPr>
                <w:sz w:val="22"/>
              </w:rPr>
            </w:pPr>
            <w:r w:rsidRPr="005C295E">
              <w:rPr>
                <w:sz w:val="22"/>
              </w:rPr>
              <w:t>AWS S3, AWS architecture concepts, Databricks, Spark/PySpark concepts, Snowflake, Microsoft Fabric, Delta Lake concepts, lakehouse and medallion architecture</w:t>
            </w:r>
          </w:p>
        </w:tc>
      </w:tr>
      <w:tr w:rsidR="00B03947" w14:paraId="3BFF50DC" w14:textId="77777777">
        <w:trPr>
          <w:jc w:val="center"/>
        </w:trPr>
        <w:tc>
          <w:tcPr>
            <w:tcW w:w="2376" w:type="dxa"/>
            <w:tcBorders>
              <w:top w:val="single" w:sz="2" w:space="0" w:color="D9E2E5"/>
              <w:left w:val="single" w:sz="2" w:space="0" w:color="D9E2E5"/>
              <w:bottom w:val="single" w:sz="2" w:space="0" w:color="D9E2E5"/>
              <w:right w:val="single" w:sz="2" w:space="0" w:color="D9E2E5"/>
            </w:tcBorders>
            <w:shd w:val="clear" w:color="auto" w:fill="EAF3F5"/>
          </w:tcPr>
          <w:p w14:paraId="7734BE89" w14:textId="77777777" w:rsidR="00B03947" w:rsidRPr="005C295E" w:rsidRDefault="00000000">
            <w:pPr>
              <w:rPr>
                <w:sz w:val="22"/>
              </w:rPr>
            </w:pPr>
            <w:r w:rsidRPr="005C295E">
              <w:rPr>
                <w:b/>
                <w:color w:val="0B3D4A"/>
                <w:sz w:val="22"/>
              </w:rPr>
              <w:t>Data Engineering &amp; Orchestration</w:t>
            </w:r>
          </w:p>
        </w:tc>
        <w:tc>
          <w:tcPr>
            <w:tcW w:w="8856" w:type="dxa"/>
            <w:tcBorders>
              <w:top w:val="single" w:sz="2" w:space="0" w:color="D9E2E5"/>
              <w:left w:val="single" w:sz="2" w:space="0" w:color="D9E2E5"/>
              <w:bottom w:val="single" w:sz="2" w:space="0" w:color="D9E2E5"/>
              <w:right w:val="single" w:sz="2" w:space="0" w:color="D9E2E5"/>
            </w:tcBorders>
          </w:tcPr>
          <w:p w14:paraId="3D7E93F7" w14:textId="77777777" w:rsidR="00B03947" w:rsidRPr="005C295E" w:rsidRDefault="00000000">
            <w:pPr>
              <w:rPr>
                <w:sz w:val="22"/>
              </w:rPr>
            </w:pPr>
            <w:r w:rsidRPr="005C295E">
              <w:rPr>
                <w:sz w:val="22"/>
              </w:rPr>
              <w:t>ETL/ELT, Airflow DAG design, CDC concepts, incremental pipelines, data modeling, source-to-target mapping, data validation, data quality monitoring</w:t>
            </w:r>
          </w:p>
        </w:tc>
      </w:tr>
      <w:tr w:rsidR="00B03947" w14:paraId="68F503B4" w14:textId="77777777">
        <w:trPr>
          <w:jc w:val="center"/>
        </w:trPr>
        <w:tc>
          <w:tcPr>
            <w:tcW w:w="2376" w:type="dxa"/>
            <w:tcBorders>
              <w:top w:val="single" w:sz="2" w:space="0" w:color="D9E2E5"/>
              <w:left w:val="single" w:sz="2" w:space="0" w:color="D9E2E5"/>
              <w:bottom w:val="single" w:sz="2" w:space="0" w:color="D9E2E5"/>
              <w:right w:val="single" w:sz="2" w:space="0" w:color="D9E2E5"/>
            </w:tcBorders>
            <w:shd w:val="clear" w:color="auto" w:fill="EAF3F5"/>
          </w:tcPr>
          <w:p w14:paraId="4CCDD180" w14:textId="77777777" w:rsidR="00B03947" w:rsidRPr="005C295E" w:rsidRDefault="00000000">
            <w:pPr>
              <w:rPr>
                <w:sz w:val="22"/>
              </w:rPr>
            </w:pPr>
            <w:r w:rsidRPr="005C295E">
              <w:rPr>
                <w:b/>
                <w:color w:val="0B3D4A"/>
                <w:sz w:val="22"/>
              </w:rPr>
              <w:t>Governance, Risk &amp; Compliance</w:t>
            </w:r>
          </w:p>
        </w:tc>
        <w:tc>
          <w:tcPr>
            <w:tcW w:w="8856" w:type="dxa"/>
            <w:tcBorders>
              <w:top w:val="single" w:sz="2" w:space="0" w:color="D9E2E5"/>
              <w:left w:val="single" w:sz="2" w:space="0" w:color="D9E2E5"/>
              <w:bottom w:val="single" w:sz="2" w:space="0" w:color="D9E2E5"/>
              <w:right w:val="single" w:sz="2" w:space="0" w:color="D9E2E5"/>
            </w:tcBorders>
          </w:tcPr>
          <w:p w14:paraId="0EEB0394" w14:textId="77777777" w:rsidR="00B03947" w:rsidRPr="005C295E" w:rsidRDefault="00000000">
            <w:pPr>
              <w:rPr>
                <w:sz w:val="22"/>
              </w:rPr>
            </w:pPr>
            <w:r w:rsidRPr="005C295E">
              <w:rPr>
                <w:sz w:val="22"/>
              </w:rPr>
              <w:t>Data governance, AI governance, HIPAA/CJIS/NIST alignment, audit-ready documentation, privacy-by-design, responsible AI oversight, information lifecycle management</w:t>
            </w:r>
          </w:p>
        </w:tc>
      </w:tr>
      <w:tr w:rsidR="00B03947" w14:paraId="409C73D6" w14:textId="77777777">
        <w:trPr>
          <w:jc w:val="center"/>
        </w:trPr>
        <w:tc>
          <w:tcPr>
            <w:tcW w:w="2376" w:type="dxa"/>
            <w:tcBorders>
              <w:top w:val="single" w:sz="2" w:space="0" w:color="D9E2E5"/>
              <w:left w:val="single" w:sz="2" w:space="0" w:color="D9E2E5"/>
              <w:bottom w:val="single" w:sz="2" w:space="0" w:color="D9E2E5"/>
              <w:right w:val="single" w:sz="2" w:space="0" w:color="D9E2E5"/>
            </w:tcBorders>
            <w:shd w:val="clear" w:color="auto" w:fill="EAF3F5"/>
          </w:tcPr>
          <w:p w14:paraId="1A9C0069" w14:textId="77777777" w:rsidR="00B03947" w:rsidRPr="005C295E" w:rsidRDefault="00000000">
            <w:pPr>
              <w:rPr>
                <w:sz w:val="22"/>
              </w:rPr>
            </w:pPr>
            <w:r w:rsidRPr="005C295E">
              <w:rPr>
                <w:b/>
                <w:color w:val="0B3D4A"/>
                <w:sz w:val="22"/>
              </w:rPr>
              <w:t>Quantum-Ready Readiness</w:t>
            </w:r>
          </w:p>
        </w:tc>
        <w:tc>
          <w:tcPr>
            <w:tcW w:w="8856" w:type="dxa"/>
            <w:tcBorders>
              <w:top w:val="single" w:sz="2" w:space="0" w:color="D9E2E5"/>
              <w:left w:val="single" w:sz="2" w:space="0" w:color="D9E2E5"/>
              <w:bottom w:val="single" w:sz="2" w:space="0" w:color="D9E2E5"/>
              <w:right w:val="single" w:sz="2" w:space="0" w:color="D9E2E5"/>
            </w:tcBorders>
          </w:tcPr>
          <w:p w14:paraId="6DC884D3" w14:textId="77777777" w:rsidR="00B03947" w:rsidRPr="005C295E" w:rsidRDefault="00000000">
            <w:pPr>
              <w:rPr>
                <w:sz w:val="22"/>
              </w:rPr>
            </w:pPr>
            <w:r w:rsidRPr="005C295E">
              <w:rPr>
                <w:sz w:val="22"/>
              </w:rPr>
              <w:t>Introductory quantum computing study, post-quantum security awareness, crypto-agility planning, quantum-ready cloud/data governance roadmaps</w:t>
            </w:r>
          </w:p>
        </w:tc>
      </w:tr>
    </w:tbl>
    <w:p w14:paraId="4D14A2D9" w14:textId="77777777" w:rsidR="00B03947" w:rsidRDefault="00000000">
      <w:pPr>
        <w:pBdr>
          <w:bottom w:val="single" w:sz="6" w:space="1" w:color="0B3D4A"/>
        </w:pBdr>
        <w:spacing w:before="80" w:after="20"/>
      </w:pPr>
      <w:r>
        <w:rPr>
          <w:b/>
          <w:color w:val="0B3D4A"/>
          <w:sz w:val="19"/>
        </w:rPr>
        <w:t>PROFESSIONAL EXPERIENCE</w:t>
      </w:r>
    </w:p>
    <w:p w14:paraId="2BB82AF6" w14:textId="77777777" w:rsidR="00B03947" w:rsidRPr="005C295E" w:rsidRDefault="00000000">
      <w:pPr>
        <w:spacing w:before="40"/>
        <w:rPr>
          <w:sz w:val="18"/>
          <w:szCs w:val="18"/>
        </w:rPr>
      </w:pPr>
      <w:r w:rsidRPr="005C295E">
        <w:rPr>
          <w:b/>
          <w:color w:val="0B3D4A"/>
          <w:sz w:val="18"/>
          <w:szCs w:val="18"/>
        </w:rPr>
        <w:t>Marinia Group, LLC / Elevate AI Solutions / VistaIFS / MergeMADS</w:t>
      </w:r>
      <w:r w:rsidRPr="005C295E">
        <w:rPr>
          <w:i/>
          <w:color w:val="4A4A4A"/>
          <w:sz w:val="18"/>
          <w:szCs w:val="18"/>
        </w:rPr>
        <w:t xml:space="preserve"> | Orange County, CA | 2011 - Present</w:t>
      </w:r>
    </w:p>
    <w:p w14:paraId="5354E7D2" w14:textId="07B05EE2" w:rsidR="00B03947" w:rsidRPr="005C295E" w:rsidRDefault="00000000">
      <w:pPr>
        <w:rPr>
          <w:sz w:val="18"/>
          <w:szCs w:val="18"/>
        </w:rPr>
      </w:pPr>
      <w:r w:rsidRPr="005C295E">
        <w:rPr>
          <w:b/>
          <w:color w:val="086C7A"/>
          <w:sz w:val="18"/>
          <w:szCs w:val="18"/>
        </w:rPr>
        <w:t>Chief Product / AI Officer | Senior AI/ML/Data Architect | Quantum-Ready Cloud &amp; Governance Strategist</w:t>
      </w:r>
    </w:p>
    <w:p w14:paraId="7B4E55ED" w14:textId="77777777" w:rsidR="00B03947" w:rsidRPr="005C295E" w:rsidRDefault="00000000">
      <w:pPr>
        <w:spacing w:line="223" w:lineRule="auto"/>
        <w:ind w:left="187" w:hanging="187"/>
        <w:rPr>
          <w:sz w:val="18"/>
          <w:szCs w:val="18"/>
        </w:rPr>
      </w:pPr>
      <w:r w:rsidRPr="005C295E">
        <w:rPr>
          <w:sz w:val="18"/>
          <w:szCs w:val="18"/>
        </w:rPr>
        <w:t>• Lead product vision, service/product architecture, customer discovery, pricing, roadmap planning, and go-to-market strategy across Marinia Group portfolio brands, turning services into repeatable, technology-enabled offers.</w:t>
      </w:r>
    </w:p>
    <w:p w14:paraId="074361DB" w14:textId="77777777" w:rsidR="00B03947" w:rsidRPr="005C295E" w:rsidRDefault="00000000">
      <w:pPr>
        <w:spacing w:line="223" w:lineRule="auto"/>
        <w:ind w:left="187" w:hanging="187"/>
        <w:rPr>
          <w:sz w:val="18"/>
          <w:szCs w:val="18"/>
        </w:rPr>
      </w:pPr>
      <w:r w:rsidRPr="005C295E">
        <w:rPr>
          <w:sz w:val="18"/>
          <w:szCs w:val="18"/>
        </w:rPr>
        <w:t>• Architected end-</w:t>
      </w:r>
      <w:proofErr w:type="gramStart"/>
      <w:r w:rsidRPr="005C295E">
        <w:rPr>
          <w:sz w:val="18"/>
          <w:szCs w:val="18"/>
        </w:rPr>
        <w:t>to</w:t>
      </w:r>
      <w:proofErr w:type="gramEnd"/>
      <w:r w:rsidRPr="005C295E">
        <w:rPr>
          <w:sz w:val="18"/>
          <w:szCs w:val="18"/>
        </w:rPr>
        <w:t>-end data platform concepts for analytics and BI, including AWS, Databricks, Snowflake, Microsoft Fabric, lakehouse architecture, data marts, dashboards, and executive reporting systems.</w:t>
      </w:r>
    </w:p>
    <w:p w14:paraId="3F0DD2AB" w14:textId="77777777" w:rsidR="00B03947" w:rsidRPr="005C295E" w:rsidRDefault="00000000">
      <w:pPr>
        <w:spacing w:line="223" w:lineRule="auto"/>
        <w:ind w:left="187" w:hanging="187"/>
        <w:rPr>
          <w:sz w:val="18"/>
          <w:szCs w:val="18"/>
        </w:rPr>
      </w:pPr>
      <w:r w:rsidRPr="005C295E">
        <w:rPr>
          <w:sz w:val="18"/>
          <w:szCs w:val="18"/>
        </w:rPr>
        <w:t>• Built lakehouse architecture project materials using AWS S3, Databricks, Spark/PySpark concepts, SQL processing, Delta Lake concepts, medallion architecture, data quality checks, and BI-ready output planning.</w:t>
      </w:r>
    </w:p>
    <w:p w14:paraId="1057C83C" w14:textId="77777777" w:rsidR="00B03947" w:rsidRPr="005C295E" w:rsidRDefault="00000000">
      <w:pPr>
        <w:spacing w:line="223" w:lineRule="auto"/>
        <w:ind w:left="187" w:hanging="187"/>
        <w:rPr>
          <w:sz w:val="18"/>
          <w:szCs w:val="18"/>
        </w:rPr>
      </w:pPr>
      <w:r w:rsidRPr="005C295E">
        <w:rPr>
          <w:sz w:val="18"/>
          <w:szCs w:val="18"/>
        </w:rPr>
        <w:t>• Designed Airflow DAGs and orchestration patterns to automate ETL workflows; modeled potential processing-time improvements of 70-90% by reducing manual batch steps and improving repeatability.</w:t>
      </w:r>
    </w:p>
    <w:p w14:paraId="12A95EAC" w14:textId="77777777" w:rsidR="00B03947" w:rsidRPr="005C295E" w:rsidRDefault="00000000">
      <w:pPr>
        <w:spacing w:line="223" w:lineRule="auto"/>
        <w:ind w:left="187" w:hanging="187"/>
        <w:rPr>
          <w:sz w:val="18"/>
          <w:szCs w:val="18"/>
        </w:rPr>
      </w:pPr>
      <w:r w:rsidRPr="005C295E">
        <w:rPr>
          <w:sz w:val="18"/>
          <w:szCs w:val="18"/>
        </w:rPr>
        <w:t>• Improved dashboard/query performance concepts by 60-80% through optimized data modeling, dimensional design, validation rules, and BI-ready semantic structures.</w:t>
      </w:r>
    </w:p>
    <w:p w14:paraId="06A19ACB" w14:textId="77777777" w:rsidR="00B03947" w:rsidRPr="005C295E" w:rsidRDefault="00000000">
      <w:pPr>
        <w:spacing w:line="223" w:lineRule="auto"/>
        <w:ind w:left="187" w:hanging="187"/>
        <w:rPr>
          <w:sz w:val="18"/>
          <w:szCs w:val="18"/>
        </w:rPr>
      </w:pPr>
      <w:r w:rsidRPr="005C295E">
        <w:rPr>
          <w:sz w:val="18"/>
          <w:szCs w:val="18"/>
        </w:rPr>
        <w:t>• Eliminated manual reporting workflow concepts, saving an estimated 8-12 hours per week through automated pipeline, dashboard, and documentation patterns.</w:t>
      </w:r>
    </w:p>
    <w:p w14:paraId="00BC1AF7" w14:textId="77777777" w:rsidR="00B03947" w:rsidRPr="005C295E" w:rsidRDefault="00000000">
      <w:pPr>
        <w:spacing w:line="223" w:lineRule="auto"/>
        <w:ind w:left="187" w:hanging="187"/>
        <w:rPr>
          <w:sz w:val="18"/>
          <w:szCs w:val="18"/>
        </w:rPr>
      </w:pPr>
      <w:r w:rsidRPr="005C295E">
        <w:rPr>
          <w:sz w:val="18"/>
          <w:szCs w:val="18"/>
        </w:rPr>
        <w:t>• Implemented CDC and incremental pipeline concepts for scalable ingestion, reduced reprocessing, and stronger downstream data quality controls.</w:t>
      </w:r>
    </w:p>
    <w:p w14:paraId="4B633891" w14:textId="77777777" w:rsidR="00B03947" w:rsidRPr="005C295E" w:rsidRDefault="00000000">
      <w:pPr>
        <w:spacing w:line="223" w:lineRule="auto"/>
        <w:ind w:left="187" w:hanging="187"/>
        <w:rPr>
          <w:sz w:val="18"/>
          <w:szCs w:val="18"/>
        </w:rPr>
      </w:pPr>
      <w:r w:rsidRPr="005C295E">
        <w:rPr>
          <w:sz w:val="18"/>
          <w:szCs w:val="18"/>
        </w:rPr>
        <w:t>• Optimized Redshift and Snowflake performance concepts through partitioning/clustering awareness, query tuning, schema design, warehouse-sizing considerations, and workload documentation.</w:t>
      </w:r>
    </w:p>
    <w:p w14:paraId="387DED6A" w14:textId="77777777" w:rsidR="00B03947" w:rsidRPr="005C295E" w:rsidRDefault="00000000">
      <w:pPr>
        <w:spacing w:line="223" w:lineRule="auto"/>
        <w:ind w:left="187" w:hanging="187"/>
        <w:rPr>
          <w:sz w:val="18"/>
          <w:szCs w:val="18"/>
        </w:rPr>
      </w:pPr>
      <w:r w:rsidRPr="005C295E">
        <w:rPr>
          <w:sz w:val="18"/>
          <w:szCs w:val="18"/>
        </w:rPr>
        <w:t>• Delivered executive dashboards and decision-support artifacts for healthcare intake analytics, insurance modernization concepts, marketing/lead funnel analytics, and public-safety/fire data modernization.</w:t>
      </w:r>
    </w:p>
    <w:p w14:paraId="5209DF89" w14:textId="77777777" w:rsidR="00B03947" w:rsidRPr="005C295E" w:rsidRDefault="00000000">
      <w:pPr>
        <w:spacing w:line="223" w:lineRule="auto"/>
        <w:ind w:left="187" w:hanging="187"/>
        <w:rPr>
          <w:sz w:val="18"/>
          <w:szCs w:val="18"/>
        </w:rPr>
      </w:pPr>
      <w:r w:rsidRPr="005C295E">
        <w:rPr>
          <w:sz w:val="18"/>
          <w:szCs w:val="18"/>
        </w:rPr>
        <w:t>• Built data quality and monitoring frameworks, including validation checks, KPI definitions, source-to-target rules, audit-ready documentation, and governance playbooks.</w:t>
      </w:r>
    </w:p>
    <w:p w14:paraId="5FD1776A" w14:textId="77777777" w:rsidR="00B03947" w:rsidRPr="005C295E" w:rsidRDefault="00000000">
      <w:pPr>
        <w:spacing w:line="223" w:lineRule="auto"/>
        <w:ind w:left="187" w:hanging="187"/>
        <w:rPr>
          <w:sz w:val="18"/>
          <w:szCs w:val="18"/>
        </w:rPr>
      </w:pPr>
      <w:r w:rsidRPr="005C295E">
        <w:rPr>
          <w:sz w:val="18"/>
          <w:szCs w:val="18"/>
        </w:rPr>
        <w:t xml:space="preserve">• Develop AI-enabled </w:t>
      </w:r>
      <w:proofErr w:type="gramStart"/>
      <w:r w:rsidRPr="005C295E">
        <w:rPr>
          <w:sz w:val="18"/>
          <w:szCs w:val="18"/>
        </w:rPr>
        <w:t>product</w:t>
      </w:r>
      <w:proofErr w:type="gramEnd"/>
      <w:r w:rsidRPr="005C295E">
        <w:rPr>
          <w:sz w:val="18"/>
          <w:szCs w:val="18"/>
        </w:rPr>
        <w:t xml:space="preserve"> and workflow concepts using structured data, unstructured text, document summarization, NLP concepts, human-in-the-loop review, and responsible AI oversight.</w:t>
      </w:r>
    </w:p>
    <w:p w14:paraId="01DF05E3" w14:textId="77777777" w:rsidR="00B03947" w:rsidRPr="005C295E" w:rsidRDefault="00000000">
      <w:pPr>
        <w:spacing w:line="223" w:lineRule="auto"/>
        <w:ind w:left="187" w:hanging="187"/>
        <w:rPr>
          <w:sz w:val="18"/>
          <w:szCs w:val="18"/>
        </w:rPr>
      </w:pPr>
      <w:r w:rsidRPr="005C295E">
        <w:rPr>
          <w:sz w:val="18"/>
          <w:szCs w:val="18"/>
        </w:rPr>
        <w:t>• Lead emerging quantum-readiness positioning, including introductory quantum computing study, post-quantum security awareness, crypto-agility planning, and quantum-ready data/cloud governance roadmaps.</w:t>
      </w:r>
    </w:p>
    <w:p w14:paraId="63F189EA" w14:textId="77777777" w:rsidR="00B03947" w:rsidRPr="005C295E" w:rsidRDefault="00000000">
      <w:pPr>
        <w:spacing w:before="40"/>
        <w:rPr>
          <w:sz w:val="18"/>
          <w:szCs w:val="18"/>
        </w:rPr>
      </w:pPr>
      <w:r w:rsidRPr="005C295E">
        <w:rPr>
          <w:b/>
          <w:color w:val="0B3D4A"/>
          <w:sz w:val="18"/>
          <w:szCs w:val="18"/>
        </w:rPr>
        <w:t>Selected Earlier Entrepreneurial Product &amp; Service Leadership</w:t>
      </w:r>
      <w:r w:rsidRPr="005C295E">
        <w:rPr>
          <w:i/>
          <w:color w:val="4A4A4A"/>
          <w:sz w:val="18"/>
          <w:szCs w:val="18"/>
        </w:rPr>
        <w:t xml:space="preserve"> | Multiple ventures</w:t>
      </w:r>
    </w:p>
    <w:p w14:paraId="4444B58B" w14:textId="77777777" w:rsidR="00B03947" w:rsidRPr="005C295E" w:rsidRDefault="00000000">
      <w:pPr>
        <w:rPr>
          <w:sz w:val="18"/>
          <w:szCs w:val="18"/>
        </w:rPr>
      </w:pPr>
      <w:r w:rsidRPr="005C295E">
        <w:rPr>
          <w:b/>
          <w:color w:val="086C7A"/>
          <w:sz w:val="18"/>
          <w:szCs w:val="18"/>
        </w:rPr>
        <w:t>Founder / Operator / Product &amp; Service Line Owner</w:t>
      </w:r>
    </w:p>
    <w:p w14:paraId="1AF576AE" w14:textId="77777777" w:rsidR="00B03947" w:rsidRPr="005C295E" w:rsidRDefault="00000000">
      <w:pPr>
        <w:spacing w:line="223" w:lineRule="auto"/>
        <w:ind w:left="187" w:hanging="187"/>
        <w:rPr>
          <w:sz w:val="18"/>
          <w:szCs w:val="18"/>
        </w:rPr>
      </w:pPr>
      <w:r w:rsidRPr="005C295E">
        <w:rPr>
          <w:sz w:val="18"/>
          <w:szCs w:val="18"/>
        </w:rPr>
        <w:lastRenderedPageBreak/>
        <w:t>• Operated as de facto Chief Product Officer across service businesses by identifying customer problems, packaging offers, setting pricing, designing delivery workflows, improving customer experience, managing compliance, and building repeatable operating systems.</w:t>
      </w:r>
    </w:p>
    <w:p w14:paraId="55D6BB3D" w14:textId="77777777" w:rsidR="00B03947" w:rsidRPr="005C295E" w:rsidRDefault="00000000">
      <w:pPr>
        <w:spacing w:line="223" w:lineRule="auto"/>
        <w:ind w:left="187" w:hanging="187"/>
        <w:rPr>
          <w:sz w:val="18"/>
          <w:szCs w:val="18"/>
        </w:rPr>
      </w:pPr>
      <w:r w:rsidRPr="005C295E">
        <w:rPr>
          <w:sz w:val="18"/>
          <w:szCs w:val="18"/>
        </w:rPr>
        <w:t>• Built and managed service lines including Top Crew Cleaning Company, Marinia Academy special-needs tutoring, Radiant Rooter, Drain Dragon, and related small-business ventures.</w:t>
      </w:r>
    </w:p>
    <w:p w14:paraId="29D9FEAF" w14:textId="77777777" w:rsidR="00B03947" w:rsidRPr="005C295E" w:rsidRDefault="00000000">
      <w:pPr>
        <w:spacing w:line="223" w:lineRule="auto"/>
        <w:ind w:left="187" w:hanging="187"/>
        <w:rPr>
          <w:sz w:val="18"/>
          <w:szCs w:val="18"/>
        </w:rPr>
      </w:pPr>
      <w:r w:rsidRPr="005C295E">
        <w:rPr>
          <w:sz w:val="18"/>
          <w:szCs w:val="18"/>
        </w:rPr>
        <w:t>• Owned product/service lifecycle responsibilities: market positioning, customer intake, service design, staffing, vendor coordination, quality control, revenue operations, local marketing, customer communications, and risk management.</w:t>
      </w:r>
    </w:p>
    <w:p w14:paraId="2B0C4C27" w14:textId="77777777" w:rsidR="00B03947" w:rsidRPr="005C295E" w:rsidRDefault="00000000">
      <w:pPr>
        <w:spacing w:line="223" w:lineRule="auto"/>
        <w:ind w:left="187" w:hanging="187"/>
        <w:rPr>
          <w:sz w:val="18"/>
          <w:szCs w:val="18"/>
        </w:rPr>
      </w:pPr>
      <w:r w:rsidRPr="005C295E">
        <w:rPr>
          <w:sz w:val="18"/>
          <w:szCs w:val="18"/>
        </w:rPr>
        <w:t>• Applied product thinking to convert expert services into structured offers, SOPs, training materials, operational workflows, customer-facing collateral, and measurable performance expectations.</w:t>
      </w:r>
    </w:p>
    <w:p w14:paraId="11D24013" w14:textId="77777777" w:rsidR="00B03947" w:rsidRPr="005C295E" w:rsidRDefault="00000000">
      <w:pPr>
        <w:spacing w:before="40"/>
        <w:rPr>
          <w:sz w:val="18"/>
          <w:szCs w:val="18"/>
        </w:rPr>
      </w:pPr>
      <w:r w:rsidRPr="005C295E">
        <w:rPr>
          <w:b/>
          <w:color w:val="0B3D4A"/>
          <w:sz w:val="18"/>
          <w:szCs w:val="18"/>
        </w:rPr>
        <w:t>Radiant Rooter, Inc.</w:t>
      </w:r>
      <w:r w:rsidRPr="005C295E">
        <w:rPr>
          <w:i/>
          <w:color w:val="4A4A4A"/>
          <w:sz w:val="18"/>
          <w:szCs w:val="18"/>
        </w:rPr>
        <w:t xml:space="preserve"> | Brea, CA | 2016 - 2018</w:t>
      </w:r>
    </w:p>
    <w:p w14:paraId="49F0CC74" w14:textId="77777777" w:rsidR="00B03947" w:rsidRPr="005C295E" w:rsidRDefault="00000000">
      <w:pPr>
        <w:rPr>
          <w:sz w:val="18"/>
          <w:szCs w:val="18"/>
        </w:rPr>
      </w:pPr>
      <w:r w:rsidRPr="005C295E">
        <w:rPr>
          <w:b/>
          <w:color w:val="086C7A"/>
          <w:sz w:val="18"/>
          <w:szCs w:val="18"/>
        </w:rPr>
        <w:t>Founder and CEO | CSLB-Licensed Corporate Plumbing Contractor (Lic. No. 1011640)</w:t>
      </w:r>
    </w:p>
    <w:p w14:paraId="35E056C8" w14:textId="77777777" w:rsidR="00B03947" w:rsidRPr="005C295E" w:rsidRDefault="00000000">
      <w:pPr>
        <w:spacing w:line="223" w:lineRule="auto"/>
        <w:ind w:left="187" w:hanging="187"/>
        <w:rPr>
          <w:sz w:val="18"/>
          <w:szCs w:val="18"/>
        </w:rPr>
      </w:pPr>
      <w:r w:rsidRPr="005C295E">
        <w:rPr>
          <w:sz w:val="18"/>
          <w:szCs w:val="18"/>
        </w:rPr>
        <w:t>• Founded and led all aspects of a plumbing services company, including operations, pricing, customer acquisition, scheduling, compliance, HR, vendor coordination, and financial oversight.</w:t>
      </w:r>
    </w:p>
    <w:p w14:paraId="7A6E0BEC" w14:textId="77777777" w:rsidR="00B03947" w:rsidRPr="005C295E" w:rsidRDefault="00000000">
      <w:pPr>
        <w:spacing w:line="223" w:lineRule="auto"/>
        <w:ind w:left="187" w:hanging="187"/>
        <w:rPr>
          <w:sz w:val="18"/>
          <w:szCs w:val="18"/>
        </w:rPr>
      </w:pPr>
      <w:r w:rsidRPr="005C295E">
        <w:rPr>
          <w:sz w:val="18"/>
          <w:szCs w:val="18"/>
        </w:rPr>
        <w:t>• Designed service packages, dispatch workflows, marketing materials, customer communication systems, and quality controls for residential and commercial plumbing customers.</w:t>
      </w:r>
    </w:p>
    <w:p w14:paraId="6ACC51B2" w14:textId="77777777" w:rsidR="00B03947" w:rsidRPr="005C295E" w:rsidRDefault="00000000">
      <w:pPr>
        <w:spacing w:line="223" w:lineRule="auto"/>
        <w:ind w:left="187" w:hanging="187"/>
        <w:rPr>
          <w:sz w:val="18"/>
          <w:szCs w:val="18"/>
        </w:rPr>
      </w:pPr>
      <w:r w:rsidRPr="005C295E">
        <w:rPr>
          <w:sz w:val="18"/>
          <w:szCs w:val="18"/>
        </w:rPr>
        <w:t>• Managed regulatory and licensing obligations, safety practices, customer service standards, and business administration in a highly operational, high-risk service environment.</w:t>
      </w:r>
    </w:p>
    <w:p w14:paraId="3B670855" w14:textId="77777777" w:rsidR="00B03947" w:rsidRPr="005C295E" w:rsidRDefault="00000000">
      <w:pPr>
        <w:spacing w:before="40"/>
        <w:rPr>
          <w:sz w:val="18"/>
          <w:szCs w:val="18"/>
        </w:rPr>
      </w:pPr>
      <w:r w:rsidRPr="005C295E">
        <w:rPr>
          <w:b/>
          <w:color w:val="0B3D4A"/>
          <w:sz w:val="18"/>
          <w:szCs w:val="18"/>
        </w:rPr>
        <w:t>K-12 Schools / Los Angeles Unified School District</w:t>
      </w:r>
      <w:r w:rsidRPr="005C295E">
        <w:rPr>
          <w:i/>
          <w:color w:val="4A4A4A"/>
          <w:sz w:val="18"/>
          <w:szCs w:val="18"/>
        </w:rPr>
        <w:t xml:space="preserve"> | 2008 - 2023</w:t>
      </w:r>
    </w:p>
    <w:p w14:paraId="7AB789A7" w14:textId="77777777" w:rsidR="00B03947" w:rsidRPr="005C295E" w:rsidRDefault="00000000">
      <w:pPr>
        <w:rPr>
          <w:sz w:val="18"/>
          <w:szCs w:val="18"/>
        </w:rPr>
      </w:pPr>
      <w:r w:rsidRPr="005C295E">
        <w:rPr>
          <w:b/>
          <w:color w:val="086C7A"/>
          <w:sz w:val="18"/>
          <w:szCs w:val="18"/>
        </w:rPr>
        <w:t>Vice Principal | Director of Special Education | Special Education Teacher | ABA Interventionist</w:t>
      </w:r>
    </w:p>
    <w:p w14:paraId="6E28D7A2" w14:textId="77777777" w:rsidR="00B03947" w:rsidRPr="005C295E" w:rsidRDefault="00000000">
      <w:pPr>
        <w:spacing w:line="223" w:lineRule="auto"/>
        <w:ind w:left="187" w:hanging="187"/>
        <w:rPr>
          <w:sz w:val="18"/>
          <w:szCs w:val="18"/>
        </w:rPr>
      </w:pPr>
      <w:r w:rsidRPr="005C295E">
        <w:rPr>
          <w:sz w:val="18"/>
          <w:szCs w:val="18"/>
        </w:rPr>
        <w:t>• Led compliance-driven educational programs, teams, budgets, student services, stakeholder communications, documentation systems, and continuous-improvement initiatives.</w:t>
      </w:r>
    </w:p>
    <w:p w14:paraId="2FE54761" w14:textId="77777777" w:rsidR="00B03947" w:rsidRPr="005C295E" w:rsidRDefault="00000000">
      <w:pPr>
        <w:spacing w:line="223" w:lineRule="auto"/>
        <w:ind w:left="187" w:hanging="187"/>
        <w:rPr>
          <w:sz w:val="18"/>
          <w:szCs w:val="18"/>
        </w:rPr>
      </w:pPr>
      <w:r w:rsidRPr="005C295E">
        <w:rPr>
          <w:sz w:val="18"/>
          <w:szCs w:val="18"/>
        </w:rPr>
        <w:t>• Managed complex human-centered operations requiring regulatory compliance, risk management, program design, staff training, data-informed decision-making, and family/community communication.</w:t>
      </w:r>
    </w:p>
    <w:p w14:paraId="09F032E0" w14:textId="77777777" w:rsidR="00B03947" w:rsidRPr="005C295E" w:rsidRDefault="00000000">
      <w:pPr>
        <w:spacing w:line="223" w:lineRule="auto"/>
        <w:ind w:left="187" w:hanging="187"/>
        <w:rPr>
          <w:sz w:val="18"/>
          <w:szCs w:val="18"/>
        </w:rPr>
      </w:pPr>
      <w:r w:rsidRPr="005C295E">
        <w:rPr>
          <w:sz w:val="18"/>
          <w:szCs w:val="18"/>
        </w:rPr>
        <w:t>• Translated policy and compliance requirements into operational systems, staff workflows, service delivery models, documentation practices, and measurable student-support outcomes.</w:t>
      </w:r>
    </w:p>
    <w:p w14:paraId="5EDC7EA9" w14:textId="77777777" w:rsidR="00B03947" w:rsidRPr="005C295E" w:rsidRDefault="00000000">
      <w:pPr>
        <w:pBdr>
          <w:bottom w:val="single" w:sz="6" w:space="1" w:color="0B3D4A"/>
        </w:pBdr>
        <w:spacing w:before="80" w:after="20"/>
        <w:rPr>
          <w:sz w:val="18"/>
          <w:szCs w:val="18"/>
        </w:rPr>
      </w:pPr>
      <w:r w:rsidRPr="005C295E">
        <w:rPr>
          <w:b/>
          <w:color w:val="0B3D4A"/>
          <w:sz w:val="18"/>
          <w:szCs w:val="18"/>
        </w:rPr>
        <w:t>SELECTED PRODUCT, DATA SCIENCE, DATA ENGINEERING &amp; AI PROJECTS</w:t>
      </w:r>
    </w:p>
    <w:p w14:paraId="4BF3F794" w14:textId="77777777" w:rsidR="00B03947" w:rsidRPr="005C295E" w:rsidRDefault="00000000">
      <w:pPr>
        <w:spacing w:line="221" w:lineRule="auto"/>
        <w:rPr>
          <w:sz w:val="18"/>
          <w:szCs w:val="18"/>
        </w:rPr>
      </w:pPr>
      <w:r w:rsidRPr="005C295E">
        <w:rPr>
          <w:b/>
          <w:color w:val="0B3D4A"/>
          <w:sz w:val="18"/>
          <w:szCs w:val="18"/>
        </w:rPr>
        <w:t xml:space="preserve">Power BI Clinic Intake Analytics Dashboard: </w:t>
      </w:r>
      <w:r w:rsidRPr="005C295E">
        <w:rPr>
          <w:sz w:val="18"/>
          <w:szCs w:val="18"/>
        </w:rPr>
        <w:t>Interactive healthcare operations dashboard with KPI cards, revenue opportunity tracking, staff time savings, wait-time analysis, monthly trends, and operational performance metrics.</w:t>
      </w:r>
    </w:p>
    <w:p w14:paraId="696DCEF7" w14:textId="77777777" w:rsidR="00B03947" w:rsidRPr="005C295E" w:rsidRDefault="00000000">
      <w:pPr>
        <w:spacing w:line="221" w:lineRule="auto"/>
        <w:rPr>
          <w:sz w:val="18"/>
          <w:szCs w:val="18"/>
        </w:rPr>
      </w:pPr>
      <w:r w:rsidRPr="005C295E">
        <w:rPr>
          <w:b/>
          <w:color w:val="0B3D4A"/>
          <w:sz w:val="18"/>
          <w:szCs w:val="18"/>
        </w:rPr>
        <w:t xml:space="preserve">Databricks ETL Pipeline / Lakehouse Architecture: </w:t>
      </w:r>
      <w:r w:rsidRPr="005C295E">
        <w:rPr>
          <w:sz w:val="18"/>
          <w:szCs w:val="18"/>
        </w:rPr>
        <w:t>Cloud data pipeline architecture using Databricks, Spark/PySpark concepts, SQL processing, Delta Lake concepts, AWS S3, medallion architecture, data quality checks, and analytics-ready outputs.</w:t>
      </w:r>
    </w:p>
    <w:p w14:paraId="34A9D0A5" w14:textId="77777777" w:rsidR="00B03947" w:rsidRPr="005C295E" w:rsidRDefault="00000000">
      <w:pPr>
        <w:spacing w:line="221" w:lineRule="auto"/>
        <w:rPr>
          <w:sz w:val="18"/>
          <w:szCs w:val="18"/>
        </w:rPr>
      </w:pPr>
      <w:r w:rsidRPr="005C295E">
        <w:rPr>
          <w:b/>
          <w:color w:val="0B3D4A"/>
          <w:sz w:val="18"/>
          <w:szCs w:val="18"/>
        </w:rPr>
        <w:t xml:space="preserve">AI-Supported Clinic Intake Optimization: </w:t>
      </w:r>
      <w:r w:rsidRPr="005C295E">
        <w:rPr>
          <w:sz w:val="18"/>
          <w:szCs w:val="18"/>
        </w:rPr>
        <w:t>Healthcare workflow modernization case study mapping paper intake pain points to digital intake, AI-supported processing, analytics, reporting, automation, and decision support.</w:t>
      </w:r>
    </w:p>
    <w:p w14:paraId="71B60788" w14:textId="77777777" w:rsidR="00B03947" w:rsidRPr="005C295E" w:rsidRDefault="00000000">
      <w:pPr>
        <w:spacing w:line="221" w:lineRule="auto"/>
        <w:rPr>
          <w:sz w:val="18"/>
          <w:szCs w:val="18"/>
        </w:rPr>
      </w:pPr>
      <w:r w:rsidRPr="005C295E">
        <w:rPr>
          <w:b/>
          <w:color w:val="0B3D4A"/>
          <w:sz w:val="18"/>
          <w:szCs w:val="18"/>
        </w:rPr>
        <w:t xml:space="preserve">Insurance Claims Intelligence ML Project: </w:t>
      </w:r>
      <w:r w:rsidRPr="005C295E">
        <w:rPr>
          <w:sz w:val="18"/>
          <w:szCs w:val="18"/>
        </w:rPr>
        <w:t>In-development Python/SQL project for claims triage, fraud-risk classification, claim-severity prediction, feature engineering, model evaluation, explainable AI concepts, and decision-support workflows.</w:t>
      </w:r>
    </w:p>
    <w:p w14:paraId="6F4BD215" w14:textId="77777777" w:rsidR="00B03947" w:rsidRPr="005C295E" w:rsidRDefault="00000000">
      <w:pPr>
        <w:spacing w:line="221" w:lineRule="auto"/>
        <w:rPr>
          <w:sz w:val="18"/>
          <w:szCs w:val="18"/>
        </w:rPr>
      </w:pPr>
      <w:r w:rsidRPr="005C295E">
        <w:rPr>
          <w:b/>
          <w:color w:val="0B3D4A"/>
          <w:sz w:val="18"/>
          <w:szCs w:val="18"/>
        </w:rPr>
        <w:t xml:space="preserve">MergeMADS Secure Digital Product Delivery System: </w:t>
      </w:r>
      <w:r w:rsidRPr="005C295E">
        <w:rPr>
          <w:sz w:val="18"/>
          <w:szCs w:val="18"/>
        </w:rPr>
        <w:t>Product architecture for paid digital marketing-plan delivery using Stripe checkout, consent capture, AWS Lambda, S3 presigned URLs, email delivery, analytics, and auditable customer workflow design.</w:t>
      </w:r>
    </w:p>
    <w:p w14:paraId="4AC75C33" w14:textId="77777777" w:rsidR="00B03947" w:rsidRPr="005C295E" w:rsidRDefault="00000000">
      <w:pPr>
        <w:spacing w:line="221" w:lineRule="auto"/>
        <w:rPr>
          <w:sz w:val="18"/>
          <w:szCs w:val="18"/>
        </w:rPr>
      </w:pPr>
      <w:r w:rsidRPr="005C295E">
        <w:rPr>
          <w:b/>
          <w:color w:val="0B3D4A"/>
          <w:sz w:val="18"/>
          <w:szCs w:val="18"/>
        </w:rPr>
        <w:t xml:space="preserve">Quantum-Ready Data Governance Roadmap: </w:t>
      </w:r>
      <w:r w:rsidRPr="005C295E">
        <w:rPr>
          <w:sz w:val="18"/>
          <w:szCs w:val="18"/>
        </w:rPr>
        <w:t>Emerging portfolio artifact focused on long-term data protection, post-quantum security awareness, crypto-agility, cloud governance, and readiness planning for regulated data systems.</w:t>
      </w:r>
    </w:p>
    <w:p w14:paraId="5D28F202" w14:textId="77777777" w:rsidR="00B03947" w:rsidRPr="005C295E" w:rsidRDefault="00000000">
      <w:pPr>
        <w:pBdr>
          <w:bottom w:val="single" w:sz="6" w:space="1" w:color="0B3D4A"/>
        </w:pBdr>
        <w:spacing w:before="80" w:after="20"/>
        <w:rPr>
          <w:sz w:val="18"/>
          <w:szCs w:val="18"/>
        </w:rPr>
      </w:pPr>
      <w:r w:rsidRPr="005C295E">
        <w:rPr>
          <w:b/>
          <w:color w:val="0B3D4A"/>
          <w:sz w:val="18"/>
          <w:szCs w:val="18"/>
        </w:rPr>
        <w:t>EDUCATION, CERTIFICATIONS &amp; PROFESSIONAL DEVELOPMENT</w:t>
      </w:r>
    </w:p>
    <w:p w14:paraId="06D91CA2" w14:textId="77777777" w:rsidR="00B03947" w:rsidRPr="005C295E" w:rsidRDefault="00000000">
      <w:pPr>
        <w:spacing w:line="223" w:lineRule="auto"/>
        <w:ind w:left="187" w:hanging="187"/>
        <w:rPr>
          <w:sz w:val="18"/>
          <w:szCs w:val="18"/>
        </w:rPr>
      </w:pPr>
      <w:r w:rsidRPr="005C295E">
        <w:rPr>
          <w:sz w:val="18"/>
          <w:szCs w:val="18"/>
        </w:rPr>
        <w:t>• M.S. Data Science - Eastern University</w:t>
      </w:r>
    </w:p>
    <w:p w14:paraId="522C2786" w14:textId="77777777" w:rsidR="00B03947" w:rsidRPr="005C295E" w:rsidRDefault="00000000">
      <w:pPr>
        <w:spacing w:line="223" w:lineRule="auto"/>
        <w:ind w:left="187" w:hanging="187"/>
        <w:rPr>
          <w:sz w:val="18"/>
          <w:szCs w:val="18"/>
        </w:rPr>
      </w:pPr>
      <w:r w:rsidRPr="005C295E">
        <w:rPr>
          <w:sz w:val="18"/>
          <w:szCs w:val="18"/>
        </w:rPr>
        <w:t>• MBA, Finance concentration - University of La Verne (in progress; Finance, Accounting, and Marketing interests)</w:t>
      </w:r>
    </w:p>
    <w:p w14:paraId="02F5341F" w14:textId="77777777" w:rsidR="00B03947" w:rsidRPr="005C295E" w:rsidRDefault="00000000">
      <w:pPr>
        <w:spacing w:line="223" w:lineRule="auto"/>
        <w:ind w:left="187" w:hanging="187"/>
        <w:rPr>
          <w:sz w:val="18"/>
          <w:szCs w:val="18"/>
        </w:rPr>
      </w:pPr>
      <w:r w:rsidRPr="005C295E">
        <w:rPr>
          <w:sz w:val="18"/>
          <w:szCs w:val="18"/>
        </w:rPr>
        <w:t>• M.Ed. Special Education - Certified Teacher / Former School Administrator</w:t>
      </w:r>
    </w:p>
    <w:p w14:paraId="13DD4715" w14:textId="77777777" w:rsidR="00B03947" w:rsidRPr="005C295E" w:rsidRDefault="00000000">
      <w:pPr>
        <w:spacing w:line="223" w:lineRule="auto"/>
        <w:ind w:left="187" w:hanging="187"/>
        <w:rPr>
          <w:sz w:val="18"/>
          <w:szCs w:val="18"/>
        </w:rPr>
      </w:pPr>
      <w:r w:rsidRPr="005C295E">
        <w:rPr>
          <w:sz w:val="18"/>
          <w:szCs w:val="18"/>
        </w:rPr>
        <w:t>• B.A. Communication Arts &amp; Media - Loyola Marymount University</w:t>
      </w:r>
    </w:p>
    <w:p w14:paraId="2AFC9E7D" w14:textId="77777777" w:rsidR="00B03947" w:rsidRPr="005C295E" w:rsidRDefault="00000000">
      <w:pPr>
        <w:spacing w:line="223" w:lineRule="auto"/>
        <w:ind w:left="187" w:hanging="187"/>
        <w:rPr>
          <w:sz w:val="18"/>
          <w:szCs w:val="18"/>
        </w:rPr>
      </w:pPr>
      <w:r w:rsidRPr="005C295E">
        <w:rPr>
          <w:sz w:val="18"/>
          <w:szCs w:val="18"/>
        </w:rPr>
        <w:t>• Professional development: AWS cloud training, Databricks/Snowflake/Fabric study, GA4/product analytics, product strategy, AI governance, introductory quantum computing, and post-quantum readiness.</w:t>
      </w:r>
    </w:p>
    <w:p w14:paraId="3858F22F" w14:textId="77777777" w:rsidR="00B03947" w:rsidRPr="005C295E" w:rsidRDefault="00000000">
      <w:pPr>
        <w:pBdr>
          <w:bottom w:val="single" w:sz="6" w:space="1" w:color="0B3D4A"/>
        </w:pBdr>
        <w:spacing w:before="80" w:after="20"/>
        <w:rPr>
          <w:sz w:val="18"/>
          <w:szCs w:val="18"/>
        </w:rPr>
      </w:pPr>
      <w:r w:rsidRPr="005C295E">
        <w:rPr>
          <w:b/>
          <w:color w:val="0B3D4A"/>
          <w:sz w:val="18"/>
          <w:szCs w:val="18"/>
        </w:rPr>
        <w:t>ATS KEYWORD BANK</w:t>
      </w:r>
    </w:p>
    <w:p w14:paraId="474FC792" w14:textId="77777777" w:rsidR="00B03947" w:rsidRPr="005C295E" w:rsidRDefault="00000000">
      <w:pPr>
        <w:rPr>
          <w:sz w:val="18"/>
          <w:szCs w:val="18"/>
        </w:rPr>
      </w:pPr>
      <w:r w:rsidRPr="005C295E">
        <w:rPr>
          <w:sz w:val="18"/>
          <w:szCs w:val="18"/>
        </w:rPr>
        <w:t>Chief Product Officer | Chief Product &amp; AI Officer | Data Scientist | Data Engineer | Cloud Data Engineer | Analytics Engineer | Machine Learning Engineer | AI/ML Solutions Consultant | Product Strategy | Product Management | Customer Discovery | Roadmaps | GTM Strategy | Product Analytics | Python | SQL | Pandas | NumPy | scikit-learn | Statistical Analysis | Predictive Modeling | Classification | Regression | Feature Engineering | Model Evaluation | Data Cleaning | EDA | Power BI | Tableau | AWS | Databricks | Spark | PySpark | Snowflake | Delta Lake | Microsoft Fabric | ETL | ELT | Data Pipelines | Lakehouse Architecture | Medallion Architecture | Airflow | DAGs | CDC | Data Modeling | Data Quality | Data Governance | AI Governance | HIPAA | CJIS | NIST | GRC | Responsible AI | Quantum-Ready Infrastructure | Post-Quantum Readiness | Crypto-Agility | Executive Dashboards | GitHub | Jupyter | Technical Documentation</w:t>
      </w:r>
    </w:p>
    <w:p w14:paraId="5AA8055A" w14:textId="77777777" w:rsidR="00B03947" w:rsidRPr="005C295E" w:rsidRDefault="00000000">
      <w:pPr>
        <w:pBdr>
          <w:bottom w:val="single" w:sz="6" w:space="1" w:color="0B3D4A"/>
        </w:pBdr>
        <w:spacing w:before="80" w:after="20"/>
        <w:rPr>
          <w:sz w:val="18"/>
          <w:szCs w:val="18"/>
        </w:rPr>
      </w:pPr>
      <w:r w:rsidRPr="005C295E">
        <w:rPr>
          <w:b/>
          <w:color w:val="0B3D4A"/>
          <w:sz w:val="18"/>
          <w:szCs w:val="18"/>
        </w:rPr>
        <w:t>TARGET ROLES &amp; AVAILABILITY</w:t>
      </w:r>
    </w:p>
    <w:p w14:paraId="7AE23B50" w14:textId="77777777" w:rsidR="00B03947" w:rsidRPr="005C295E" w:rsidRDefault="00000000">
      <w:pPr>
        <w:rPr>
          <w:sz w:val="18"/>
          <w:szCs w:val="18"/>
        </w:rPr>
      </w:pPr>
      <w:r w:rsidRPr="005C295E">
        <w:rPr>
          <w:sz w:val="18"/>
          <w:szCs w:val="18"/>
        </w:rPr>
        <w:t>Target roles: Chief Product &amp; AI Officer | Director of Product / AI Product Strategy | Data Scientist | Data Engineer | Cloud Data Engineer | Analytics Engineer | Machine Learning Engineer | Product/Growth Data Scientist | BI Developer | AI/ML Solutions Consultant. Availability: remote part-time or full-time data, cloud, product, and AI/ML work. Independent contractor engagements preferred; open to W-2 opportunities when required.</w:t>
      </w:r>
    </w:p>
    <w:sectPr w:rsidR="00B03947" w:rsidRPr="005C295E" w:rsidSect="00034616">
      <w:footerReference w:type="default" r:id="rId14"/>
      <w:pgSz w:w="12240" w:h="15840"/>
      <w:pgMar w:top="605" w:right="720" w:bottom="60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0B0D" w14:textId="77777777" w:rsidR="009320FD" w:rsidRDefault="009320FD">
      <w:pPr>
        <w:spacing w:line="240" w:lineRule="auto"/>
      </w:pPr>
      <w:r>
        <w:separator/>
      </w:r>
    </w:p>
  </w:endnote>
  <w:endnote w:type="continuationSeparator" w:id="0">
    <w:p w14:paraId="4B8BCFFA" w14:textId="77777777" w:rsidR="009320FD" w:rsidRDefault="00932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223E" w14:textId="77777777" w:rsidR="00B03947" w:rsidRDefault="00000000">
    <w:pPr>
      <w:pStyle w:val="Footer"/>
      <w:jc w:val="center"/>
    </w:pPr>
    <w:r>
      <w:rPr>
        <w:color w:val="4A4A4A"/>
        <w:sz w:val="14"/>
      </w:rPr>
      <w:t>Shani Sambrano | Chief Product &amp; AI Officer | Senior AI/ML/Data Architect | Quantum-Ready Cloud &amp; Governance Strategist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2D15" w14:textId="77777777" w:rsidR="009320FD" w:rsidRDefault="009320FD">
      <w:pPr>
        <w:spacing w:line="240" w:lineRule="auto"/>
      </w:pPr>
      <w:r>
        <w:separator/>
      </w:r>
    </w:p>
  </w:footnote>
  <w:footnote w:type="continuationSeparator" w:id="0">
    <w:p w14:paraId="63D8CD99" w14:textId="77777777" w:rsidR="009320FD" w:rsidRDefault="009320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8775907">
    <w:abstractNumId w:val="8"/>
  </w:num>
  <w:num w:numId="2" w16cid:durableId="92866676">
    <w:abstractNumId w:val="6"/>
  </w:num>
  <w:num w:numId="3" w16cid:durableId="1126310483">
    <w:abstractNumId w:val="5"/>
  </w:num>
  <w:num w:numId="4" w16cid:durableId="1515533326">
    <w:abstractNumId w:val="4"/>
  </w:num>
  <w:num w:numId="5" w16cid:durableId="100730070">
    <w:abstractNumId w:val="7"/>
  </w:num>
  <w:num w:numId="6" w16cid:durableId="1803108302">
    <w:abstractNumId w:val="3"/>
  </w:num>
  <w:num w:numId="7" w16cid:durableId="357436826">
    <w:abstractNumId w:val="2"/>
  </w:num>
  <w:num w:numId="8" w16cid:durableId="1594508400">
    <w:abstractNumId w:val="1"/>
  </w:num>
  <w:num w:numId="9" w16cid:durableId="210384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E57"/>
    <w:rsid w:val="00034616"/>
    <w:rsid w:val="0006063C"/>
    <w:rsid w:val="00093241"/>
    <w:rsid w:val="0015074B"/>
    <w:rsid w:val="0029639D"/>
    <w:rsid w:val="00326F90"/>
    <w:rsid w:val="005C295E"/>
    <w:rsid w:val="009320FD"/>
    <w:rsid w:val="00AA1D8D"/>
    <w:rsid w:val="00B03947"/>
    <w:rsid w:val="00B47730"/>
    <w:rsid w:val="00C95AB2"/>
    <w:rsid w:val="00CB0664"/>
    <w:rsid w:val="00FC693F"/>
    <w:rsid w:val="00FD2CD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B299D"/>
  <w14:defaultImageDpi w14:val="300"/>
  <w15:docId w15:val="{42359D79-4F82-47F2-94FA-568228C1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26" w:lineRule="auto"/>
    </w:pPr>
    <w:rPr>
      <w:rFonts w:ascii="Aptos" w:eastAsia="Aptos" w:hAnsi="Aptos"/>
      <w:sz w:val="16"/>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mbrano@elevate-aisolutions.com" TargetMode="External"/><Relationship Id="rId13" Type="http://schemas.openxmlformats.org/officeDocument/2006/relationships/hyperlink" Target="https://mergema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taif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vate-aisolution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MariniaGroup" TargetMode="External"/><Relationship Id="rId4" Type="http://schemas.openxmlformats.org/officeDocument/2006/relationships/settings" Target="settings.xml"/><Relationship Id="rId9" Type="http://schemas.openxmlformats.org/officeDocument/2006/relationships/hyperlink" Target="https://d27ifusnwawtvm.cloudfront.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Shani Sambrano</cp:lastModifiedBy>
  <cp:revision>5</cp:revision>
  <dcterms:created xsi:type="dcterms:W3CDTF">2013-12-23T23:15:00Z</dcterms:created>
  <dcterms:modified xsi:type="dcterms:W3CDTF">2026-06-24T18:48:00Z</dcterms:modified>
  <cp:category/>
</cp:coreProperties>
</file>